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20" w:rsidRPr="0028722C" w:rsidRDefault="0028722C">
      <w:pPr>
        <w:rPr>
          <w:b/>
          <w:sz w:val="32"/>
          <w:szCs w:val="32"/>
        </w:rPr>
      </w:pPr>
      <w:r w:rsidRPr="0028722C">
        <w:rPr>
          <w:b/>
          <w:sz w:val="32"/>
          <w:szCs w:val="32"/>
        </w:rPr>
        <w:t>Vectors FAQ 9</w:t>
      </w:r>
    </w:p>
    <w:p w:rsidR="0028722C" w:rsidRDefault="0028722C">
      <w:r>
        <w:t>2011 IJC P2 Q4</w:t>
      </w:r>
    </w:p>
    <w:p w:rsidR="0028722C" w:rsidRDefault="0028722C">
      <w:r>
        <w:rPr>
          <w:noProof/>
          <w:lang w:eastAsia="en-SG"/>
        </w:rPr>
        <w:drawing>
          <wp:inline distT="0" distB="0" distL="0" distR="0">
            <wp:extent cx="5732780" cy="22663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2C" w:rsidRDefault="0028722C">
      <w:r>
        <w:rPr>
          <w:noProof/>
          <w:lang w:eastAsia="en-SG"/>
        </w:rPr>
        <w:drawing>
          <wp:inline distT="0" distB="0" distL="0" distR="0">
            <wp:extent cx="4445000" cy="3641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2C" w:rsidRDefault="0028722C">
      <w:r>
        <w:rPr>
          <w:noProof/>
          <w:lang w:eastAsia="en-SG"/>
        </w:rPr>
        <w:lastRenderedPageBreak/>
        <w:drawing>
          <wp:inline distT="0" distB="0" distL="0" distR="0">
            <wp:extent cx="4429125" cy="195580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22C" w:rsidRDefault="0028722C">
      <w:r>
        <w:rPr>
          <w:noProof/>
          <w:lang w:eastAsia="en-SG"/>
        </w:rPr>
        <w:drawing>
          <wp:inline distT="0" distB="0" distL="0" distR="0">
            <wp:extent cx="4413250" cy="3427095"/>
            <wp:effectExtent l="0" t="0" r="635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722C" w:rsidRDefault="0028722C"/>
    <w:sectPr w:rsidR="00287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2C"/>
    <w:rsid w:val="001B4620"/>
    <w:rsid w:val="0028722C"/>
    <w:rsid w:val="00A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2014-07-28T05:20:00Z</dcterms:created>
  <dcterms:modified xsi:type="dcterms:W3CDTF">2014-07-28T05:32:00Z</dcterms:modified>
</cp:coreProperties>
</file>